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19" w:rsidRDefault="00C37519" w:rsidP="00EE3B85">
      <w:pPr>
        <w:pStyle w:val="PlainText"/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"https://jobs.ufhealth.org/allied-health/pharmacy/residency-program/pharmacy-practice/" </w:instrText>
      </w:r>
      <w:r>
        <w:rPr>
          <w:color w:val="1F497D"/>
        </w:rPr>
        <w:fldChar w:fldCharType="separate"/>
      </w:r>
      <w:r>
        <w:rPr>
          <w:rStyle w:val="Hyperlink"/>
        </w:rPr>
        <w:t>https://jobs.ufhealth.org/allied-health/pharmacy/residency-program/pharmacy-practice/</w:t>
      </w:r>
      <w:r>
        <w:rPr>
          <w:color w:val="1F497D"/>
        </w:rPr>
        <w:fldChar w:fldCharType="end"/>
      </w:r>
    </w:p>
    <w:p w:rsidR="00C37519" w:rsidRDefault="00C37519" w:rsidP="00EE3B85">
      <w:pPr>
        <w:pStyle w:val="PlainText"/>
      </w:pPr>
    </w:p>
    <w:p w:rsidR="00EE3B85" w:rsidRDefault="00EE3B85" w:rsidP="00EE3B85">
      <w:pPr>
        <w:pStyle w:val="PlainText"/>
      </w:pPr>
      <w:r>
        <w:t xml:space="preserve">We are pilot testing a new tool that will be used to assist us in selecting the strongest residency applicants for onsite interviews. This year, the tool is a required part of the application so that we can gather sufficient data to be able to identify if this will assist us in the selection process in the future. </w:t>
      </w:r>
    </w:p>
    <w:p w:rsidR="00EE3B85" w:rsidRDefault="00EE3B85" w:rsidP="00EE3B85">
      <w:pPr>
        <w:pStyle w:val="PlainText"/>
      </w:pPr>
    </w:p>
    <w:p w:rsidR="00EE3B85" w:rsidRDefault="00EE3B85" w:rsidP="00EE3B85">
      <w:pPr>
        <w:pStyle w:val="PlainText"/>
      </w:pPr>
      <w:r>
        <w:t>The tool helps us to assess non-cognitive pharmacist attributes such as:</w:t>
      </w:r>
    </w:p>
    <w:p w:rsidR="00EE3B85" w:rsidRDefault="00EE3B85" w:rsidP="00EE3B85">
      <w:pPr>
        <w:pStyle w:val="PlainText"/>
        <w:numPr>
          <w:ilvl w:val="0"/>
          <w:numId w:val="1"/>
        </w:numPr>
      </w:pPr>
      <w:r>
        <w:t xml:space="preserve">Self-directed learning &amp; personal accountability </w:t>
      </w:r>
    </w:p>
    <w:p w:rsidR="00EE3B85" w:rsidRDefault="00EE3B85" w:rsidP="00EE3B85">
      <w:pPr>
        <w:pStyle w:val="PlainText"/>
        <w:numPr>
          <w:ilvl w:val="0"/>
          <w:numId w:val="1"/>
        </w:numPr>
      </w:pPr>
      <w:r>
        <w:t>Personal integrity &amp; ethics</w:t>
      </w:r>
    </w:p>
    <w:p w:rsidR="00EE3B85" w:rsidRDefault="00EE3B85" w:rsidP="00EE3B85">
      <w:pPr>
        <w:pStyle w:val="PlainText"/>
        <w:numPr>
          <w:ilvl w:val="0"/>
          <w:numId w:val="1"/>
        </w:numPr>
      </w:pPr>
      <w:r>
        <w:t>Empathy &amp; compassion for others</w:t>
      </w:r>
    </w:p>
    <w:p w:rsidR="00EE3B85" w:rsidRDefault="00EE3B85" w:rsidP="00EE3B85">
      <w:pPr>
        <w:pStyle w:val="PlainText"/>
        <w:numPr>
          <w:ilvl w:val="0"/>
          <w:numId w:val="1"/>
        </w:numPr>
      </w:pPr>
      <w:r>
        <w:t xml:space="preserve">Team collaboration &amp; respect for colleagues </w:t>
      </w:r>
    </w:p>
    <w:p w:rsidR="00EE3B85" w:rsidRDefault="00EE3B85" w:rsidP="00EE3B85">
      <w:pPr>
        <w:pStyle w:val="PlainText"/>
      </w:pPr>
    </w:p>
    <w:p w:rsidR="0036024D" w:rsidRDefault="00EE3B85" w:rsidP="000E59E4">
      <w:r>
        <w:t>There is nothing you should do to prepare to complete this tool</w:t>
      </w:r>
      <w:r w:rsidR="00EC71E9">
        <w:t>. After submitting your application to our residency program, a link to access the tool will be emailed to you within 10 days.</w:t>
      </w:r>
      <w:r w:rsidR="002708C6">
        <w:t xml:space="preserve"> The link is personalized to your application. Please do not share the link with other program applicants.</w:t>
      </w:r>
    </w:p>
    <w:p w:rsidR="002708C6" w:rsidRDefault="002708C6" w:rsidP="002708C6">
      <w:pPr>
        <w:spacing w:after="0" w:line="240" w:lineRule="auto"/>
        <w:contextualSpacing/>
      </w:pPr>
      <w:r>
        <w:t>If you do not receive a link to the tool within 2 weeks of submitting your application, please email Martina Holder, PharmD, BCPS (</w:t>
      </w:r>
      <w:hyperlink r:id="rId5" w:history="1">
        <w:r w:rsidRPr="000E4FF5">
          <w:rPr>
            <w:rStyle w:val="Hyperlink"/>
          </w:rPr>
          <w:t>holdmc@shands.ufl.edu</w:t>
        </w:r>
      </w:hyperlink>
      <w:r>
        <w:t xml:space="preserve">). </w:t>
      </w:r>
    </w:p>
    <w:p w:rsidR="002708C6" w:rsidRDefault="002708C6" w:rsidP="002708C6">
      <w:pPr>
        <w:pStyle w:val="PlainText"/>
      </w:pPr>
    </w:p>
    <w:p w:rsidR="00EE3B85" w:rsidRDefault="00EE3B85" w:rsidP="002708C6">
      <w:pPr>
        <w:pStyle w:val="PlainText"/>
      </w:pPr>
      <w:r>
        <w:t xml:space="preserve">You will be given 60 minutes to </w:t>
      </w:r>
      <w:r w:rsidR="00FA279D">
        <w:t xml:space="preserve">independently </w:t>
      </w:r>
      <w:r>
        <w:t xml:space="preserve">complete the tool and it can be done at the location of your choice. </w:t>
      </w:r>
      <w:r w:rsidR="00EC71E9">
        <w:t xml:space="preserve">You will not be able to return to scenarios you have already completed. </w:t>
      </w:r>
      <w:r>
        <w:t xml:space="preserve">We recommend you find a quiet location with a stable internet connection, as it </w:t>
      </w:r>
      <w:r w:rsidR="002708C6">
        <w:t>must be completed all at once</w:t>
      </w:r>
      <w:r>
        <w:t xml:space="preserve">. </w:t>
      </w:r>
    </w:p>
    <w:p w:rsidR="00543FC0" w:rsidRDefault="00543FC0" w:rsidP="002708C6">
      <w:pPr>
        <w:pStyle w:val="PlainText"/>
      </w:pPr>
    </w:p>
    <w:p w:rsidR="00EE3B85" w:rsidRDefault="00543FC0" w:rsidP="00EE3B85">
      <w:pPr>
        <w:pStyle w:val="PlainText"/>
      </w:pPr>
      <w:r>
        <w:t>I</w:t>
      </w:r>
      <w:r w:rsidR="00EE3B85">
        <w:t xml:space="preserve">nstructions </w:t>
      </w:r>
      <w:r>
        <w:t xml:space="preserve">for completing the tool are below.  These </w:t>
      </w:r>
      <w:r w:rsidR="002708C6">
        <w:t xml:space="preserve">instructions </w:t>
      </w:r>
      <w:r>
        <w:t xml:space="preserve">will also be provided on the first page of the electronic version of the tool. We are providing these instructions </w:t>
      </w:r>
      <w:r w:rsidR="002708C6">
        <w:t xml:space="preserve">to you now </w:t>
      </w:r>
      <w:r>
        <w:t>so you know what to anticipate before accessing the tool for the first time.</w:t>
      </w:r>
    </w:p>
    <w:p w:rsidR="00EE3B85" w:rsidRDefault="00EE3B85" w:rsidP="00EE3B85">
      <w:pPr>
        <w:pStyle w:val="PlainText"/>
      </w:pPr>
    </w:p>
    <w:p w:rsidR="00543FC0" w:rsidRDefault="00543FC0" w:rsidP="00543FC0">
      <w:pPr>
        <w:pStyle w:val="ListParagraph"/>
        <w:numPr>
          <w:ilvl w:val="0"/>
          <w:numId w:val="4"/>
        </w:numPr>
        <w:spacing w:after="160" w:line="360" w:lineRule="auto"/>
        <w:contextualSpacing/>
      </w:pPr>
      <w:r>
        <w:t xml:space="preserve">In this tool you will be presented with scenarios based in a pharmacy practice context that you are likely to encounter while you are a pharmacy resident. </w:t>
      </w:r>
    </w:p>
    <w:p w:rsidR="00543FC0" w:rsidRDefault="00543FC0" w:rsidP="00543FC0">
      <w:pPr>
        <w:pStyle w:val="ListParagraph"/>
        <w:numPr>
          <w:ilvl w:val="0"/>
          <w:numId w:val="4"/>
        </w:numPr>
        <w:spacing w:after="160" w:line="360" w:lineRule="auto"/>
        <w:contextualSpacing/>
      </w:pPr>
      <w:r>
        <w:t xml:space="preserve">All scenarios will be based around the key professional attributes which have been identified as being important in the role of a pharmacy resident. </w:t>
      </w:r>
    </w:p>
    <w:p w:rsidR="00543FC0" w:rsidRPr="00F83DE9" w:rsidRDefault="00543FC0" w:rsidP="00543FC0">
      <w:pPr>
        <w:pStyle w:val="ListParagraph"/>
        <w:numPr>
          <w:ilvl w:val="0"/>
          <w:numId w:val="4"/>
        </w:numPr>
        <w:spacing w:after="160" w:line="360" w:lineRule="auto"/>
        <w:contextualSpacing/>
      </w:pPr>
      <w:r w:rsidRPr="007659F9">
        <w:rPr>
          <w:i/>
          <w:u w:val="single"/>
        </w:rPr>
        <w:t xml:space="preserve">When responding, </w:t>
      </w:r>
      <w:r>
        <w:rPr>
          <w:i/>
          <w:u w:val="single"/>
        </w:rPr>
        <w:t>please answer as a pharmacy resident</w:t>
      </w:r>
      <w:r w:rsidRPr="007659F9">
        <w:rPr>
          <w:i/>
          <w:u w:val="single"/>
        </w:rPr>
        <w:t xml:space="preserve"> </w:t>
      </w:r>
      <w:r w:rsidRPr="007659F9">
        <w:rPr>
          <w:b/>
          <w:i/>
          <w:u w:val="single"/>
        </w:rPr>
        <w:t>should</w:t>
      </w:r>
      <w:r w:rsidRPr="007659F9">
        <w:rPr>
          <w:i/>
          <w:u w:val="single"/>
        </w:rPr>
        <w:t xml:space="preserve"> respond to each of the scenarios.</w:t>
      </w:r>
      <w:r>
        <w:t xml:space="preserve">  </w:t>
      </w:r>
      <w:r w:rsidRPr="00F83DE9">
        <w:rPr>
          <w:rFonts w:ascii="Calibri" w:hAnsi="Calibri" w:cs="Arial"/>
        </w:rPr>
        <w:t>We appreciate</w:t>
      </w:r>
      <w:r>
        <w:rPr>
          <w:rFonts w:ascii="Calibri" w:hAnsi="Calibri" w:cs="Arial"/>
        </w:rPr>
        <w:t xml:space="preserve"> that</w:t>
      </w:r>
      <w:r w:rsidRPr="00F83DE9">
        <w:rPr>
          <w:rFonts w:ascii="Calibri" w:hAnsi="Calibri" w:cs="Arial"/>
        </w:rPr>
        <w:t xml:space="preserve"> you may sometimes feel that you would like more information before answering but please give your best answer based on the information provided in the </w:t>
      </w:r>
      <w:r>
        <w:rPr>
          <w:rFonts w:ascii="Calibri" w:hAnsi="Calibri" w:cs="Arial"/>
        </w:rPr>
        <w:t>scenario.</w:t>
      </w:r>
    </w:p>
    <w:p w:rsidR="00543FC0" w:rsidRPr="00F83DE9" w:rsidRDefault="00543FC0" w:rsidP="00543FC0">
      <w:pPr>
        <w:spacing w:after="120"/>
        <w:rPr>
          <w:rFonts w:ascii="Calibri" w:hAnsi="Calibri" w:cs="Calibri"/>
          <w:b/>
        </w:rPr>
      </w:pPr>
      <w:r w:rsidRPr="00F83DE9">
        <w:rPr>
          <w:rFonts w:ascii="Calibri" w:hAnsi="Calibri" w:cs="Calibri"/>
          <w:b/>
        </w:rPr>
        <w:t>Please Note:</w:t>
      </w:r>
    </w:p>
    <w:p w:rsidR="00543FC0" w:rsidRDefault="00543FC0" w:rsidP="00543FC0">
      <w:pPr>
        <w:pStyle w:val="ListParagraph"/>
        <w:numPr>
          <w:ilvl w:val="0"/>
          <w:numId w:val="4"/>
        </w:numPr>
        <w:spacing w:after="160" w:line="360" w:lineRule="auto"/>
        <w:contextualSpacing/>
      </w:pPr>
      <w:r>
        <w:t xml:space="preserve">This tool consists of </w:t>
      </w:r>
      <w:r>
        <w:rPr>
          <w:b/>
        </w:rPr>
        <w:t>30</w:t>
      </w:r>
      <w:r w:rsidRPr="002D42D0">
        <w:rPr>
          <w:b/>
        </w:rPr>
        <w:t xml:space="preserve"> scenarios </w:t>
      </w:r>
      <w:r>
        <w:t xml:space="preserve">in total. </w:t>
      </w:r>
      <w:r>
        <w:rPr>
          <w:rFonts w:cs="Arial"/>
        </w:rPr>
        <w:t xml:space="preserve">Please make sure you read the instructions for each question carefully. </w:t>
      </w:r>
    </w:p>
    <w:p w:rsidR="00543FC0" w:rsidRDefault="00543FC0" w:rsidP="00543FC0">
      <w:pPr>
        <w:pStyle w:val="ListParagraph"/>
        <w:numPr>
          <w:ilvl w:val="0"/>
          <w:numId w:val="4"/>
        </w:numPr>
        <w:spacing w:after="160" w:line="360" w:lineRule="auto"/>
        <w:contextualSpacing/>
      </w:pPr>
      <w:r>
        <w:t xml:space="preserve">You will have </w:t>
      </w:r>
      <w:r>
        <w:rPr>
          <w:b/>
        </w:rPr>
        <w:t>60</w:t>
      </w:r>
      <w:r w:rsidRPr="00F83DE9">
        <w:rPr>
          <w:b/>
        </w:rPr>
        <w:t xml:space="preserve"> minutes </w:t>
      </w:r>
      <w:r>
        <w:t>to complete the tool.</w:t>
      </w:r>
    </w:p>
    <w:p w:rsidR="00543FC0" w:rsidRDefault="00543FC0" w:rsidP="00543FC0">
      <w:pPr>
        <w:pStyle w:val="ListParagraph"/>
        <w:numPr>
          <w:ilvl w:val="0"/>
          <w:numId w:val="4"/>
        </w:numPr>
        <w:spacing w:after="160" w:line="360" w:lineRule="auto"/>
        <w:contextualSpacing/>
      </w:pPr>
      <w:r>
        <w:t>Please answer all questions. There is</w:t>
      </w:r>
      <w:r w:rsidRPr="00925E78">
        <w:rPr>
          <w:b/>
        </w:rPr>
        <w:t xml:space="preserve"> </w:t>
      </w:r>
      <w:r w:rsidRPr="00925E78">
        <w:rPr>
          <w:b/>
          <w:u w:val="single"/>
        </w:rPr>
        <w:t>no</w:t>
      </w:r>
      <w:r>
        <w:t xml:space="preserve"> negative scoring.</w:t>
      </w:r>
    </w:p>
    <w:p w:rsidR="00543FC0" w:rsidRDefault="00543FC0" w:rsidP="00543FC0">
      <w:pPr>
        <w:rPr>
          <w:b/>
        </w:rPr>
      </w:pPr>
      <w:r>
        <w:rPr>
          <w:b/>
        </w:rPr>
        <w:t>Response Instructions</w:t>
      </w:r>
    </w:p>
    <w:p w:rsidR="00543FC0" w:rsidRDefault="00543FC0" w:rsidP="00543FC0">
      <w:pPr>
        <w:pStyle w:val="ListParagraph"/>
        <w:numPr>
          <w:ilvl w:val="0"/>
          <w:numId w:val="5"/>
        </w:numPr>
        <w:spacing w:after="240" w:line="360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The tool consists of 30 scenarios with each scenario being followed by between 5 and</w:t>
      </w:r>
      <w:r w:rsidRPr="00B20BE0">
        <w:rPr>
          <w:rFonts w:ascii="Calibri" w:hAnsi="Calibri" w:cs="Calibri"/>
        </w:rPr>
        <w:t xml:space="preserve"> 8 response options. Please</w:t>
      </w:r>
      <w:r w:rsidRPr="00B20BE0">
        <w:rPr>
          <w:rFonts w:ascii="Calibri" w:hAnsi="Calibri" w:cs="Calibri"/>
          <w:b/>
        </w:rPr>
        <w:t xml:space="preserve"> rate the </w:t>
      </w:r>
      <w:r w:rsidRPr="00B20BE0">
        <w:rPr>
          <w:rFonts w:ascii="Calibri" w:hAnsi="Calibri" w:cs="Calibri"/>
          <w:b/>
          <w:i/>
        </w:rPr>
        <w:t>appropriateness</w:t>
      </w:r>
      <w:r w:rsidRPr="00B20BE0">
        <w:rPr>
          <w:rFonts w:ascii="Calibri" w:hAnsi="Calibri" w:cs="Calibri"/>
          <w:b/>
        </w:rPr>
        <w:t xml:space="preserve"> of each of the options.  </w:t>
      </w:r>
    </w:p>
    <w:p w:rsidR="00543FC0" w:rsidRPr="00B20BE0" w:rsidRDefault="00543FC0" w:rsidP="00543FC0">
      <w:pPr>
        <w:pStyle w:val="ListParagraph"/>
        <w:numPr>
          <w:ilvl w:val="0"/>
          <w:numId w:val="5"/>
        </w:numPr>
        <w:spacing w:after="240" w:line="360" w:lineRule="auto"/>
        <w:contextualSpacing/>
        <w:jc w:val="both"/>
        <w:rPr>
          <w:rFonts w:ascii="Calibri" w:hAnsi="Calibri" w:cs="Calibri"/>
          <w:b/>
        </w:rPr>
      </w:pPr>
      <w:r w:rsidRPr="00600287">
        <w:t xml:space="preserve">Each option should be treated as </w:t>
      </w:r>
      <w:r w:rsidRPr="00545A52">
        <w:rPr>
          <w:u w:val="single"/>
        </w:rPr>
        <w:t>independent</w:t>
      </w:r>
      <w:r w:rsidRPr="00600287">
        <w:t>; that is your judgement as to the appropriateness of a particular response option should not depend on your judgement of the other options and you should not attempt to make comparisons between the options.</w:t>
      </w:r>
    </w:p>
    <w:p w:rsidR="00543FC0" w:rsidRPr="00E948A2" w:rsidRDefault="00543FC0" w:rsidP="00543FC0">
      <w:pPr>
        <w:pStyle w:val="ListParagraph"/>
        <w:numPr>
          <w:ilvl w:val="0"/>
          <w:numId w:val="3"/>
        </w:numPr>
        <w:spacing w:after="60" w:line="360" w:lineRule="auto"/>
        <w:contextualSpacing/>
        <w:jc w:val="both"/>
        <w:rPr>
          <w:rFonts w:cs="Arial"/>
          <w:b/>
        </w:rPr>
      </w:pPr>
      <w:r w:rsidRPr="00E948A2">
        <w:rPr>
          <w:rFonts w:cs="Arial"/>
        </w:rPr>
        <w:t xml:space="preserve">An option is </w:t>
      </w:r>
      <w:r w:rsidRPr="00E948A2">
        <w:rPr>
          <w:rFonts w:cs="Arial"/>
          <w:b/>
          <w:i/>
        </w:rPr>
        <w:t>a very appropriate thing to do</w:t>
      </w:r>
      <w:r w:rsidRPr="00E948A2">
        <w:rPr>
          <w:rFonts w:cs="Arial"/>
        </w:rPr>
        <w:t xml:space="preserve"> if this is a very good thing to do in response to the scenario and one that will address at least one aspect (but not necessarily all aspects) of the situation</w:t>
      </w:r>
      <w:r>
        <w:rPr>
          <w:rFonts w:cs="Arial"/>
        </w:rPr>
        <w:t>.</w:t>
      </w:r>
    </w:p>
    <w:p w:rsidR="00543FC0" w:rsidRPr="00E948A2" w:rsidRDefault="00543FC0" w:rsidP="00543FC0">
      <w:pPr>
        <w:pStyle w:val="ListParagraph"/>
        <w:numPr>
          <w:ilvl w:val="0"/>
          <w:numId w:val="3"/>
        </w:numPr>
        <w:spacing w:after="60" w:line="360" w:lineRule="auto"/>
        <w:contextualSpacing/>
        <w:jc w:val="both"/>
        <w:rPr>
          <w:rFonts w:cs="Arial"/>
          <w:b/>
        </w:rPr>
      </w:pPr>
      <w:r w:rsidRPr="00E948A2">
        <w:rPr>
          <w:rFonts w:cs="Arial"/>
        </w:rPr>
        <w:t xml:space="preserve">An option is </w:t>
      </w:r>
      <w:r w:rsidRPr="00E948A2">
        <w:rPr>
          <w:rFonts w:cs="Arial"/>
          <w:b/>
          <w:i/>
        </w:rPr>
        <w:t>appropriate, but not ideal</w:t>
      </w:r>
      <w:r w:rsidRPr="00E948A2">
        <w:rPr>
          <w:rFonts w:cs="Arial"/>
        </w:rPr>
        <w:t xml:space="preserve"> if this is something that could be done, but is not necessarily a </w:t>
      </w:r>
      <w:r w:rsidRPr="00D24C2F">
        <w:rPr>
          <w:rFonts w:cs="Arial"/>
          <w:u w:val="single"/>
        </w:rPr>
        <w:t>very</w:t>
      </w:r>
      <w:r w:rsidRPr="00E948A2">
        <w:rPr>
          <w:rFonts w:cs="Arial"/>
        </w:rPr>
        <w:t xml:space="preserve"> good thing to do in response to the scenario</w:t>
      </w:r>
      <w:r>
        <w:rPr>
          <w:rFonts w:cs="Arial"/>
        </w:rPr>
        <w:t>.</w:t>
      </w:r>
    </w:p>
    <w:p w:rsidR="00543FC0" w:rsidRPr="00E948A2" w:rsidRDefault="00543FC0" w:rsidP="00543FC0">
      <w:pPr>
        <w:pStyle w:val="ListParagraph"/>
        <w:numPr>
          <w:ilvl w:val="0"/>
          <w:numId w:val="3"/>
        </w:numPr>
        <w:spacing w:after="60" w:line="360" w:lineRule="auto"/>
        <w:contextualSpacing/>
        <w:jc w:val="both"/>
        <w:rPr>
          <w:rFonts w:cs="Arial"/>
          <w:b/>
        </w:rPr>
      </w:pPr>
      <w:r w:rsidRPr="00E948A2">
        <w:rPr>
          <w:rFonts w:cs="Arial"/>
        </w:rPr>
        <w:t xml:space="preserve">An option is </w:t>
      </w:r>
      <w:r w:rsidRPr="00E948A2">
        <w:rPr>
          <w:rFonts w:cs="Arial"/>
          <w:b/>
          <w:i/>
        </w:rPr>
        <w:t>inappropriate</w:t>
      </w:r>
      <w:r w:rsidRPr="00E948A2">
        <w:rPr>
          <w:rFonts w:cs="Arial"/>
        </w:rPr>
        <w:t xml:space="preserve">, </w:t>
      </w:r>
      <w:r w:rsidRPr="00E948A2">
        <w:rPr>
          <w:rFonts w:cs="Arial"/>
          <w:b/>
          <w:i/>
        </w:rPr>
        <w:t>but not awful</w:t>
      </w:r>
      <w:r w:rsidRPr="00E948A2">
        <w:rPr>
          <w:rFonts w:cs="Arial"/>
        </w:rPr>
        <w:t xml:space="preserve"> if this is something that should not really be done, but would not be a terrible thing to do in response to the scenario</w:t>
      </w:r>
      <w:r>
        <w:rPr>
          <w:rFonts w:cs="Arial"/>
        </w:rPr>
        <w:t>.</w:t>
      </w:r>
    </w:p>
    <w:p w:rsidR="00543FC0" w:rsidRPr="00E948A2" w:rsidRDefault="00543FC0" w:rsidP="00543FC0">
      <w:pPr>
        <w:pStyle w:val="ListParagraph"/>
        <w:numPr>
          <w:ilvl w:val="0"/>
          <w:numId w:val="3"/>
        </w:numPr>
        <w:spacing w:after="60" w:line="360" w:lineRule="auto"/>
        <w:contextualSpacing/>
        <w:jc w:val="both"/>
        <w:rPr>
          <w:rFonts w:cs="Arial"/>
          <w:b/>
        </w:rPr>
      </w:pPr>
      <w:r w:rsidRPr="00E948A2">
        <w:rPr>
          <w:rFonts w:cs="Arial"/>
        </w:rPr>
        <w:t xml:space="preserve">An option is </w:t>
      </w:r>
      <w:r w:rsidRPr="00E948A2">
        <w:rPr>
          <w:rFonts w:cs="Arial"/>
          <w:b/>
          <w:i/>
        </w:rPr>
        <w:t>a very inappropriate</w:t>
      </w:r>
      <w:r w:rsidRPr="00E948A2">
        <w:rPr>
          <w:rFonts w:cs="Arial"/>
        </w:rPr>
        <w:t xml:space="preserve"> </w:t>
      </w:r>
      <w:r w:rsidRPr="00E948A2">
        <w:rPr>
          <w:rFonts w:cs="Arial"/>
          <w:b/>
          <w:i/>
        </w:rPr>
        <w:t>thing to do</w:t>
      </w:r>
      <w:r w:rsidRPr="00E948A2">
        <w:rPr>
          <w:rFonts w:cs="Arial"/>
        </w:rPr>
        <w:t xml:space="preserve"> if this is something that should definitely not be done in response to the scenario and would make the situation worse</w:t>
      </w:r>
      <w:r>
        <w:rPr>
          <w:rFonts w:cs="Arial"/>
        </w:rPr>
        <w:t>.</w:t>
      </w:r>
    </w:p>
    <w:p w:rsidR="00543FC0" w:rsidRPr="00FC53EA" w:rsidRDefault="00543FC0" w:rsidP="00543FC0">
      <w:pPr>
        <w:pStyle w:val="ListParagraph"/>
        <w:numPr>
          <w:ilvl w:val="0"/>
          <w:numId w:val="2"/>
        </w:numPr>
        <w:spacing w:after="120" w:line="360" w:lineRule="auto"/>
        <w:contextualSpacing/>
        <w:jc w:val="both"/>
        <w:rPr>
          <w:rFonts w:cs="Arial"/>
          <w:b/>
        </w:rPr>
      </w:pPr>
      <w:r w:rsidRPr="00BB0745">
        <w:rPr>
          <w:rFonts w:cs="Arial"/>
        </w:rPr>
        <w:t>Within a single scenario,</w:t>
      </w:r>
      <w:r w:rsidRPr="00BB0745">
        <w:rPr>
          <w:rFonts w:cs="Arial"/>
          <w:b/>
          <w:i/>
        </w:rPr>
        <w:t xml:space="preserve"> </w:t>
      </w:r>
      <w:r w:rsidRPr="00545A52">
        <w:rPr>
          <w:rFonts w:cs="Arial"/>
        </w:rPr>
        <w:t>each rating (from 1-4)</w:t>
      </w:r>
      <w:r w:rsidRPr="00BB0745">
        <w:rPr>
          <w:rFonts w:cs="Arial"/>
          <w:b/>
        </w:rPr>
        <w:t xml:space="preserve"> can be used more than once or not at all</w:t>
      </w:r>
      <w:r w:rsidRPr="00BB0745">
        <w:rPr>
          <w:rFonts w:cs="Arial"/>
        </w:rPr>
        <w:t xml:space="preserve">; for example all response options can be given the same rating of </w:t>
      </w:r>
      <w:r w:rsidRPr="00BB0745">
        <w:rPr>
          <w:rFonts w:cs="Arial"/>
          <w:b/>
        </w:rPr>
        <w:t>very appropriate</w:t>
      </w:r>
      <w:r w:rsidRPr="00BB0745">
        <w:rPr>
          <w:rFonts w:cs="Arial"/>
        </w:rPr>
        <w:t xml:space="preserve"> if you feel that these are the correct ratings.</w:t>
      </w:r>
    </w:p>
    <w:p w:rsidR="00FC53EA" w:rsidRDefault="00FC53EA" w:rsidP="00FC53EA">
      <w:pPr>
        <w:spacing w:after="120" w:line="360" w:lineRule="auto"/>
        <w:contextualSpacing/>
        <w:jc w:val="both"/>
        <w:rPr>
          <w:rFonts w:cs="Arial"/>
          <w:b/>
        </w:rPr>
      </w:pPr>
    </w:p>
    <w:p w:rsidR="00FC53EA" w:rsidRDefault="00FC53EA" w:rsidP="00FC53EA">
      <w:pPr>
        <w:spacing w:after="120" w:line="360" w:lineRule="auto"/>
        <w:contextualSpacing/>
        <w:jc w:val="both"/>
        <w:rPr>
          <w:rFonts w:cs="Arial"/>
        </w:rPr>
      </w:pPr>
      <w:r>
        <w:rPr>
          <w:rFonts w:cs="Arial"/>
          <w:b/>
        </w:rPr>
        <w:t>Sample Scenario with Responses and Keyed Ratings</w:t>
      </w:r>
    </w:p>
    <w:p w:rsidR="00FC53EA" w:rsidRDefault="00FC53EA" w:rsidP="00FC53EA">
      <w:pPr>
        <w:spacing w:after="120" w:line="360" w:lineRule="auto"/>
        <w:contextualSpacing/>
        <w:jc w:val="both"/>
        <w:rPr>
          <w:rFonts w:cs="Arial"/>
        </w:rPr>
      </w:pPr>
    </w:p>
    <w:p w:rsidR="00FC53EA" w:rsidRDefault="00FC53EA" w:rsidP="00FC53EA">
      <w:pPr>
        <w:spacing w:after="120" w:line="360" w:lineRule="auto"/>
        <w:contextualSpacing/>
        <w:jc w:val="both"/>
        <w:rPr>
          <w:rFonts w:cs="Arial"/>
        </w:rPr>
      </w:pPr>
      <w:proofErr w:type="spellStart"/>
      <w:r>
        <w:rPr>
          <w:rFonts w:cs="Arial"/>
        </w:rPr>
        <w:t>Kye</w:t>
      </w:r>
      <w:proofErr w:type="spellEnd"/>
      <w:r>
        <w:rPr>
          <w:rFonts w:cs="Arial"/>
        </w:rPr>
        <w:t xml:space="preserve"> and Tabitha are first year pharmacy residents. </w:t>
      </w:r>
      <w:proofErr w:type="spellStart"/>
      <w:r>
        <w:rPr>
          <w:rFonts w:cs="Arial"/>
        </w:rPr>
        <w:t>Kye</w:t>
      </w:r>
      <w:proofErr w:type="spellEnd"/>
      <w:r>
        <w:rPr>
          <w:rFonts w:cs="Arial"/>
        </w:rPr>
        <w:t xml:space="preserve">, Tabitha and their co-residents, are working through a patient case during a residency case conference where all pharmacy residents participate with a rotation of pharmacist preceptors present. All the residents are asked to give their input in addressing the patient’s drug therapy problems. Over the course of the activity, </w:t>
      </w:r>
      <w:proofErr w:type="spellStart"/>
      <w:r>
        <w:rPr>
          <w:rFonts w:cs="Arial"/>
        </w:rPr>
        <w:t>Kye</w:t>
      </w:r>
      <w:proofErr w:type="spellEnd"/>
      <w:r>
        <w:rPr>
          <w:rFonts w:cs="Arial"/>
        </w:rPr>
        <w:t xml:space="preserve"> notices that Tabitha is not saying anything and appears disengaged from the activity. He has also noticed Tabitha’s lack of participation in previous residency case conference activities.</w:t>
      </w:r>
    </w:p>
    <w:p w:rsidR="00FC53EA" w:rsidRDefault="00FC53EA" w:rsidP="00FC53EA">
      <w:pPr>
        <w:spacing w:after="120" w:line="360" w:lineRule="auto"/>
        <w:contextualSpacing/>
        <w:jc w:val="both"/>
        <w:rPr>
          <w:rFonts w:cs="Arial"/>
        </w:rPr>
      </w:pPr>
    </w:p>
    <w:p w:rsidR="00FC53EA" w:rsidRDefault="00FC53EA" w:rsidP="00FC53EA">
      <w:pPr>
        <w:spacing w:after="120" w:line="360" w:lineRule="auto"/>
        <w:contextualSpacing/>
        <w:jc w:val="both"/>
        <w:rPr>
          <w:rFonts w:cs="Calibri"/>
        </w:rPr>
      </w:pPr>
      <w:r w:rsidRPr="002367CA">
        <w:rPr>
          <w:rFonts w:cs="Arial"/>
          <w:b/>
          <w:iCs/>
        </w:rPr>
        <w:t>Response Instructions:</w:t>
      </w:r>
      <w:r w:rsidRPr="002367CA">
        <w:t xml:space="preserve">  </w:t>
      </w:r>
      <w:r w:rsidRPr="002367CA">
        <w:rPr>
          <w:rFonts w:cs="Calibri"/>
        </w:rPr>
        <w:t xml:space="preserve">How </w:t>
      </w:r>
      <w:r w:rsidRPr="002367CA">
        <w:rPr>
          <w:rFonts w:cs="Calibri"/>
          <w:b/>
        </w:rPr>
        <w:t>appropriate</w:t>
      </w:r>
      <w:r w:rsidRPr="002367CA">
        <w:rPr>
          <w:rFonts w:cs="Calibri"/>
        </w:rPr>
        <w:t xml:space="preserve"> are each of the following responses by </w:t>
      </w:r>
      <w:proofErr w:type="spellStart"/>
      <w:r>
        <w:rPr>
          <w:rFonts w:cs="Calibri"/>
          <w:b/>
          <w:i/>
          <w:u w:val="single"/>
        </w:rPr>
        <w:t>Kye</w:t>
      </w:r>
      <w:proofErr w:type="spellEnd"/>
      <w:r w:rsidRPr="007F470A">
        <w:rPr>
          <w:rFonts w:cs="Calibri"/>
        </w:rPr>
        <w:t xml:space="preserve"> </w:t>
      </w:r>
      <w:r w:rsidRPr="002367CA">
        <w:rPr>
          <w:rFonts w:cs="Calibri"/>
        </w:rPr>
        <w:t>in this situation?</w:t>
      </w:r>
      <w:r>
        <w:rPr>
          <w:rFonts w:cs="Calibri"/>
        </w:rPr>
        <w:t xml:space="preserve"> Options: 1 = A very appropriate thing to do; 2 = Appropriate, but not ideal; 3 = Inappropriate, but not awful; 4 = A very inappropriate thing to do.</w:t>
      </w:r>
    </w:p>
    <w:p w:rsidR="00FC53EA" w:rsidRDefault="00FC53EA" w:rsidP="00FC53EA">
      <w:pPr>
        <w:spacing w:after="120" w:line="360" w:lineRule="auto"/>
        <w:contextualSpacing/>
        <w:jc w:val="both"/>
        <w:rPr>
          <w:rFonts w:cs="Calibri"/>
        </w:rPr>
      </w:pPr>
    </w:p>
    <w:p w:rsidR="00FC53EA" w:rsidRDefault="00FC53EA" w:rsidP="00FC53EA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FC53EA">
        <w:rPr>
          <w:rFonts w:cs="Arial"/>
        </w:rPr>
        <w:t>Discuss Tabitha’s lack of participation with other pharmacy residents during the activity.</w:t>
      </w:r>
    </w:p>
    <w:p w:rsidR="00FC53EA" w:rsidRDefault="00FC53EA" w:rsidP="00FC53EA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Continue with the activity without Tabitha’s input.</w:t>
      </w:r>
    </w:p>
    <w:p w:rsidR="00FC53EA" w:rsidRDefault="00FC53EA" w:rsidP="00FC53EA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Notify the residency program director of the lack of Tabitha’s participation during pharmacy residency case conferences.</w:t>
      </w:r>
    </w:p>
    <w:p w:rsidR="00FC53EA" w:rsidRDefault="00FC53EA" w:rsidP="00FC53EA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Discuss Tabitha’s lack of participation with the other pharmacy residents, without Tabitha after the session is over.</w:t>
      </w:r>
    </w:p>
    <w:p w:rsidR="00FC53EA" w:rsidRDefault="00FC53EA" w:rsidP="00FC53EA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Meet with Tabitha alone after the session to discuss concerns regarding her participation.</w:t>
      </w:r>
    </w:p>
    <w:p w:rsidR="00FC53EA" w:rsidRDefault="00FC53EA" w:rsidP="00FC53EA">
      <w:pPr>
        <w:jc w:val="both"/>
        <w:rPr>
          <w:rFonts w:cs="Arial"/>
        </w:rPr>
      </w:pPr>
    </w:p>
    <w:p w:rsidR="00FC53EA" w:rsidRPr="00FC53EA" w:rsidRDefault="00FC53EA" w:rsidP="00FC53EA">
      <w:pPr>
        <w:jc w:val="both"/>
        <w:rPr>
          <w:rFonts w:cs="Arial"/>
        </w:rPr>
      </w:pPr>
      <w:r>
        <w:rPr>
          <w:rFonts w:cs="Arial"/>
        </w:rPr>
        <w:t>Answer Key: A=4; B=3; C=2; D=4; E=1</w:t>
      </w:r>
    </w:p>
    <w:p w:rsidR="00EE3B85" w:rsidRDefault="00EE3B85" w:rsidP="00EE3B85">
      <w:pPr>
        <w:pStyle w:val="PlainText"/>
      </w:pPr>
    </w:p>
    <w:p w:rsidR="00C9409F" w:rsidRDefault="00C9409F"/>
    <w:sectPr w:rsidR="00C9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62B"/>
    <w:multiLevelType w:val="hybridMultilevel"/>
    <w:tmpl w:val="853CC722"/>
    <w:lvl w:ilvl="0" w:tplc="53B22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E9B"/>
    <w:multiLevelType w:val="hybridMultilevel"/>
    <w:tmpl w:val="85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70FA"/>
    <w:multiLevelType w:val="hybridMultilevel"/>
    <w:tmpl w:val="D1C27D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6034F"/>
    <w:multiLevelType w:val="hybridMultilevel"/>
    <w:tmpl w:val="2250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150B"/>
    <w:multiLevelType w:val="hybridMultilevel"/>
    <w:tmpl w:val="71E0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18AC"/>
    <w:multiLevelType w:val="hybridMultilevel"/>
    <w:tmpl w:val="D262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37995"/>
    <w:multiLevelType w:val="hybridMultilevel"/>
    <w:tmpl w:val="FA3C8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61D9"/>
    <w:multiLevelType w:val="hybridMultilevel"/>
    <w:tmpl w:val="28AE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85"/>
    <w:rsid w:val="000E59E4"/>
    <w:rsid w:val="002708C6"/>
    <w:rsid w:val="0036024D"/>
    <w:rsid w:val="00476D32"/>
    <w:rsid w:val="00543FC0"/>
    <w:rsid w:val="00C37519"/>
    <w:rsid w:val="00C9409F"/>
    <w:rsid w:val="00CD02A8"/>
    <w:rsid w:val="00E51D06"/>
    <w:rsid w:val="00EC71E9"/>
    <w:rsid w:val="00EE3B85"/>
    <w:rsid w:val="00FA279D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EC2B"/>
  <w15:chartTrackingRefBased/>
  <w15:docId w15:val="{EB93AF05-57F9-4BF5-BDFE-50C123F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3B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B8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FC0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543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dmc@shands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Farland, Michelle</dc:creator>
  <cp:keywords/>
  <dc:description/>
  <cp:lastModifiedBy>Smith, Kathryn J</cp:lastModifiedBy>
  <cp:revision>2</cp:revision>
  <dcterms:created xsi:type="dcterms:W3CDTF">2019-12-04T17:12:00Z</dcterms:created>
  <dcterms:modified xsi:type="dcterms:W3CDTF">2019-12-04T17:12:00Z</dcterms:modified>
</cp:coreProperties>
</file>